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after="0"/>
      </w:pPr>
      <w:r>
        <w:rPr>
          <w:rFonts w:hint="eastAsia"/>
        </w:rPr>
        <w:t>《中国精品文化期刊文献库》（CJFU）产品说明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一、产品概况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中国精品文化期刊文献库》择优收录我国文化类精品期刊文献，对文献进行规范著录、标引和深度加工，以集成化网络出版形式普及社会文化知识，通过先进的知识整合技术提供内容链接、个性化服务等增值服务功能，以更好、更广泛地满足人们对精品文化期刊的阅读、欣赏、利用、评论、交流、保存等各方面的需求，是荟萃文化精品，普及社会文化知识的网络平台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1.数据来源：</w:t>
      </w:r>
      <w:r>
        <w:rPr>
          <w:rFonts w:hint="eastAsia" w:ascii="宋体" w:hAnsi="宋体" w:cs="宋体"/>
          <w:sz w:val="22"/>
          <w:szCs w:val="22"/>
        </w:rPr>
        <w:t>1994年至今的我国正式出版发行的大众文化类期刊。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黑体" w:hAnsi="黑体" w:eastAsia="黑体" w:cs="黑体"/>
          <w:sz w:val="22"/>
          <w:szCs w:val="22"/>
        </w:rPr>
        <w:t>2.收录年限：</w:t>
      </w:r>
      <w:r>
        <w:rPr>
          <w:rFonts w:ascii="宋体" w:hAnsi="宋体" w:cs="宋体"/>
          <w:sz w:val="22"/>
          <w:szCs w:val="22"/>
        </w:rPr>
        <w:t>1994</w:t>
      </w:r>
      <w:r>
        <w:rPr>
          <w:rFonts w:hint="eastAsia" w:ascii="宋体" w:hAnsi="宋体" w:cs="宋体"/>
          <w:sz w:val="22"/>
          <w:szCs w:val="22"/>
        </w:rPr>
        <w:t>年至今（部分优秀期刊回溯至创刊）。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sz w:val="22"/>
          <w:szCs w:val="22"/>
        </w:rPr>
        <w:t>.分类体系：</w:t>
      </w:r>
      <w:r>
        <w:rPr>
          <w:rFonts w:hint="eastAsia" w:ascii="宋体" w:hAnsi="宋体" w:cs="宋体"/>
          <w:sz w:val="22"/>
          <w:szCs w:val="22"/>
        </w:rPr>
        <w:t>根据文献内容设立修身养性、民风民俗、法制纵横、百姓焦点、历史人文、人才求职、居家生活、休闲广场、体育健身、家庭保健、寻医问药等11大栏目，100多个子栏目。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sz w:val="22"/>
          <w:szCs w:val="22"/>
        </w:rPr>
        <w:t>.出版时效：</w:t>
      </w:r>
      <w:r>
        <w:rPr>
          <w:rFonts w:hint="eastAsia" w:ascii="宋体" w:hAnsi="宋体" w:cs="宋体"/>
          <w:sz w:val="22"/>
          <w:szCs w:val="22"/>
        </w:rPr>
        <w:t>网络数据每日更新。</w:t>
      </w:r>
    </w:p>
    <w:p>
      <w:pPr>
        <w:pStyle w:val="4"/>
        <w:widowControl/>
        <w:spacing w:line="276" w:lineRule="auto"/>
        <w:ind w:firstLine="450"/>
        <w:rPr>
          <w:rFonts w:hint="default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5</w:t>
      </w:r>
      <w:r>
        <w:rPr>
          <w:rFonts w:ascii="黑体" w:hAnsi="黑体" w:eastAsia="黑体" w:cs="黑体"/>
          <w:sz w:val="22"/>
          <w:szCs w:val="22"/>
        </w:rPr>
        <w:t>.出版合法性：</w:t>
      </w:r>
      <w:r>
        <w:rPr>
          <w:sz w:val="22"/>
          <w:szCs w:val="22"/>
        </w:rPr>
        <w:t>所收录期刊均取得其出版单位授权。</w:t>
      </w:r>
    </w:p>
    <w:p>
      <w:pPr>
        <w:pStyle w:val="4"/>
        <w:widowControl/>
        <w:spacing w:line="276" w:lineRule="auto"/>
        <w:ind w:firstLine="440" w:firstLineChars="200"/>
        <w:rPr>
          <w:rFonts w:hint="eastAsia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6</w:t>
      </w:r>
      <w:r>
        <w:rPr>
          <w:rFonts w:ascii="黑体" w:hAnsi="黑体" w:eastAsia="黑体" w:cs="黑体"/>
          <w:sz w:val="22"/>
          <w:szCs w:val="22"/>
        </w:rPr>
        <w:t>.产品网址：</w:t>
      </w:r>
      <w:r>
        <w:rPr>
          <w:rFonts w:hint="eastAsia" w:ascii="黑体" w:hAnsi="黑体" w:eastAsia="黑体" w:cs="黑体"/>
          <w:sz w:val="22"/>
          <w:szCs w:val="22"/>
        </w:rPr>
        <w:t>https://wenhua.cnki.net/index?sysid=19</w:t>
      </w:r>
    </w:p>
    <w:p>
      <w:pPr>
        <w:pStyle w:val="4"/>
        <w:widowControl/>
        <w:spacing w:line="276" w:lineRule="auto"/>
        <w:ind w:firstLine="450"/>
        <w:rPr>
          <w:rFonts w:hint="default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7</w:t>
      </w:r>
      <w:r>
        <w:rPr>
          <w:rFonts w:ascii="黑体" w:hAnsi="黑体" w:eastAsia="黑体" w:cs="黑体"/>
          <w:sz w:val="22"/>
          <w:szCs w:val="22"/>
        </w:rPr>
        <w:t>.2</w:t>
      </w:r>
      <w:r>
        <w:rPr>
          <w:rFonts w:hint="default" w:ascii="黑体" w:hAnsi="黑体" w:eastAsia="黑体" w:cs="黑体"/>
          <w:sz w:val="22"/>
          <w:szCs w:val="22"/>
        </w:rPr>
        <w:t>0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23</w:t>
      </w:r>
      <w:r>
        <w:rPr>
          <w:rFonts w:hint="default" w:ascii="黑体" w:hAnsi="黑体" w:eastAsia="黑体" w:cs="黑体"/>
          <w:sz w:val="22"/>
          <w:szCs w:val="22"/>
        </w:rPr>
        <w:t>年出版计划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default"/>
          <w:sz w:val="22"/>
          <w:szCs w:val="22"/>
        </w:rPr>
        <w:t>计划出版文化类期刊</w:t>
      </w:r>
      <w:r>
        <w:rPr>
          <w:rFonts w:hint="eastAsia"/>
          <w:sz w:val="22"/>
          <w:szCs w:val="22"/>
          <w:lang w:val="en-US" w:eastAsia="zh-CN"/>
        </w:rPr>
        <w:t>89</w:t>
      </w:r>
      <w:r>
        <w:rPr>
          <w:rFonts w:hint="default"/>
          <w:sz w:val="22"/>
          <w:szCs w:val="22"/>
        </w:rPr>
        <w:t>种，共计文献</w:t>
      </w:r>
      <w:r>
        <w:rPr>
          <w:rFonts w:hint="eastAsia"/>
          <w:sz w:val="22"/>
          <w:szCs w:val="22"/>
          <w:lang w:val="en-US" w:eastAsia="zh-CN"/>
        </w:rPr>
        <w:t>5.8</w:t>
      </w:r>
      <w:r>
        <w:rPr>
          <w:rFonts w:hint="default"/>
          <w:sz w:val="22"/>
          <w:szCs w:val="22"/>
        </w:rPr>
        <w:t>万篇</w:t>
      </w:r>
      <w:r>
        <w:rPr>
          <w:sz w:val="22"/>
          <w:szCs w:val="22"/>
        </w:rPr>
        <w:t>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二、资源特色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1</w:t>
      </w:r>
      <w:r>
        <w:rPr>
          <w:rFonts w:hint="eastAsia" w:ascii="黑体" w:hAnsi="黑体" w:eastAsia="黑体" w:cs="黑体"/>
          <w:sz w:val="22"/>
          <w:szCs w:val="22"/>
        </w:rPr>
        <w:t>.数据来源优势：</w:t>
      </w:r>
      <w:r>
        <w:rPr>
          <w:rFonts w:hint="eastAsia" w:ascii="宋体" w:hAnsi="宋体" w:cs="宋体"/>
          <w:sz w:val="22"/>
          <w:szCs w:val="22"/>
        </w:rPr>
        <w:t>依据读者基础、编辑质量、办刊方针等综合考量，择优收录我国正式出版发行的文化类期刊文献。文献质量高，内容丰富，来源权威。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2</w:t>
      </w:r>
      <w:r>
        <w:rPr>
          <w:rFonts w:hint="eastAsia" w:ascii="黑体" w:hAnsi="黑体" w:eastAsia="黑体" w:cs="黑体"/>
          <w:sz w:val="22"/>
          <w:szCs w:val="22"/>
        </w:rPr>
        <w:t>.文献期数收录完整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文献收录期数完整率高于</w:t>
      </w:r>
      <w:r>
        <w:rPr>
          <w:rFonts w:ascii="宋体" w:hAnsi="宋体" w:cs="宋体"/>
          <w:sz w:val="22"/>
          <w:szCs w:val="22"/>
        </w:rPr>
        <w:t>99</w:t>
      </w:r>
      <w:r>
        <w:rPr>
          <w:rFonts w:hint="eastAsia" w:ascii="宋体" w:hAnsi="宋体" w:cs="宋体"/>
          <w:sz w:val="22"/>
          <w:szCs w:val="22"/>
        </w:rPr>
        <w:t>％。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3</w:t>
      </w:r>
      <w:r>
        <w:rPr>
          <w:rFonts w:hint="eastAsia" w:ascii="黑体" w:hAnsi="黑体" w:eastAsia="黑体" w:cs="黑体"/>
          <w:sz w:val="22"/>
          <w:szCs w:val="22"/>
        </w:rPr>
        <w:t>.文献篇数收录完整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文献篇数收录完整率高于</w:t>
      </w:r>
      <w:r>
        <w:rPr>
          <w:rFonts w:ascii="宋体" w:hAnsi="宋体" w:cs="宋体"/>
          <w:sz w:val="22"/>
          <w:szCs w:val="22"/>
        </w:rPr>
        <w:t>99</w:t>
      </w:r>
      <w:r>
        <w:rPr>
          <w:rFonts w:hint="eastAsia" w:ascii="宋体" w:hAnsi="宋体" w:cs="宋体"/>
          <w:sz w:val="22"/>
          <w:szCs w:val="22"/>
        </w:rPr>
        <w:t>％。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三、功能特点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1.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检索字段</w:t>
      </w:r>
      <w:r>
        <w:rPr>
          <w:rFonts w:hint="eastAsia"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提供篇名、作者、刊名、全文、关键词等检索字段。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2.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科学导</w:t>
      </w:r>
      <w:bookmarkStart w:id="0" w:name="_GoBack"/>
      <w:bookmarkEnd w:id="0"/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航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：科学的整刊分类导航与文献分类导航。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3</w:t>
      </w:r>
      <w:r>
        <w:rPr>
          <w:rFonts w:hint="eastAsia" w:ascii="黑体" w:hAnsi="黑体" w:eastAsia="黑体" w:cs="黑体"/>
          <w:sz w:val="22"/>
          <w:szCs w:val="22"/>
        </w:rPr>
        <w:t>.知网节：</w:t>
      </w:r>
      <w:r>
        <w:rPr>
          <w:rFonts w:hint="eastAsia" w:ascii="宋体" w:hAnsi="宋体" w:cs="宋体"/>
          <w:sz w:val="22"/>
          <w:szCs w:val="22"/>
        </w:rPr>
        <w:t>多角度揭示了文献的内容关联，实现了资源的整体性增值。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四、产品价值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1.适用对象：高校、科研、企业和政府等各类机构。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2.应用价值：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1）图书馆文化资源必备馆藏。择优收录我国正式出版、大众喜闻乐见的优质文化期刊资源，针对文化内容特点深度整合、科学分类，是各类文化知识学习、研究与传播的重要平台，是各级各类图书馆文化类的必备馆藏资源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（2）学习文化知识的服务平台。在拓展学生的知识面，完善知识结构，提升综合素质，丰富校园文化方面有巨大的推动作用。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（3）政府体察民情工作的重要参考。平台快速及时地反映文化发展动态与热点，对于政府机关工作人员提升自身文化修养，了解民情、服务群众工作具有重要作用。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五、服务模式</w:t>
      </w:r>
    </w:p>
    <w:p>
      <w:pPr>
        <w:spacing w:line="276" w:lineRule="auto"/>
        <w:ind w:firstLine="45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提供本地镜像、云租用、云托管、云机构馆托管四种服务模式。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WM1MDYxZjkzZWJkYjgxZjEwZDBmY2UwNDA5MGUifQ=="/>
  </w:docVars>
  <w:rsids>
    <w:rsidRoot w:val="007D0795"/>
    <w:rsid w:val="000405C3"/>
    <w:rsid w:val="007D0795"/>
    <w:rsid w:val="00BA155C"/>
    <w:rsid w:val="151562E4"/>
    <w:rsid w:val="3A99706C"/>
    <w:rsid w:val="4EE3755A"/>
    <w:rsid w:val="63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next w:val="1"/>
    <w:link w:val="8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eastAsia="微软雅黑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1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uiPriority w:val="9"/>
    <w:rPr>
      <w:rFonts w:eastAsia="微软雅黑" w:asciiTheme="majorHAnsi" w:hAnsiTheme="majorHAnsi" w:cstheme="majorBidi"/>
      <w:b/>
      <w:bCs/>
      <w:sz w:val="32"/>
      <w:szCs w:val="32"/>
    </w:rPr>
  </w:style>
  <w:style w:type="paragraph" w:customStyle="1" w:styleId="9">
    <w:name w:val="标题3"/>
    <w:basedOn w:val="3"/>
    <w:next w:val="1"/>
    <w:link w:val="10"/>
    <w:qFormat/>
    <w:uiPriority w:val="0"/>
    <w:rPr>
      <w:rFonts w:eastAsia="微软雅黑"/>
      <w:sz w:val="28"/>
    </w:rPr>
  </w:style>
  <w:style w:type="character" w:customStyle="1" w:styleId="10">
    <w:name w:val="标题3 Char"/>
    <w:basedOn w:val="6"/>
    <w:link w:val="9"/>
    <w:uiPriority w:val="0"/>
    <w:rPr>
      <w:rFonts w:eastAsia="微软雅黑"/>
      <w:b/>
      <w:bCs/>
      <w:sz w:val="28"/>
      <w:szCs w:val="32"/>
    </w:rPr>
  </w:style>
  <w:style w:type="character" w:customStyle="1" w:styleId="11">
    <w:name w:val="标题 3 Char"/>
    <w:basedOn w:val="6"/>
    <w:link w:val="3"/>
    <w:qFormat/>
    <w:uiPriority w:val="9"/>
    <w:rPr>
      <w:b/>
      <w:bCs/>
      <w:sz w:val="32"/>
      <w:szCs w:val="32"/>
    </w:rPr>
  </w:style>
  <w:style w:type="paragraph" w:customStyle="1" w:styleId="12">
    <w:name w:val="标题4"/>
    <w:basedOn w:val="1"/>
    <w:qFormat/>
    <w:uiPriority w:val="0"/>
    <w:pPr>
      <w:jc w:val="left"/>
    </w:pPr>
    <w:rPr>
      <w:rFonts w:eastAsia="微软雅黑" w:asciiTheme="minorHAnsi" w:hAnsiTheme="minorHAnsi" w:cstheme="minorBidi"/>
      <w:sz w:val="24"/>
      <w:szCs w:val="21"/>
    </w:rPr>
  </w:style>
  <w:style w:type="character" w:customStyle="1" w:styleId="13">
    <w:name w:val="HTML 预设格式 Char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1021</Characters>
  <Lines>8</Lines>
  <Paragraphs>2</Paragraphs>
  <TotalTime>1</TotalTime>
  <ScaleCrop>false</ScaleCrop>
  <LinksUpToDate>false</LinksUpToDate>
  <CharactersWithSpaces>1033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2019-06-13T09:18:00Z</dcterms:created>
  <dc:creator>李小散 lee</dc:creator>
  <cp:lastModifiedBy>Miss Oreo</cp:lastModifiedBy>
  <dcterms:modified xsi:type="dcterms:W3CDTF">2023-07-26T04:14:15Z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95F7A234896B4B73ADA72C5BBCD17DD3_13</vt:lpwstr>
  </property>
</Properties>
</file>